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</w:t>
      </w:r>
      <w:r>
        <w:rPr>
          <w:rFonts w:hint="default"/>
          <w:b/>
          <w:i/>
          <w:sz w:val="28"/>
          <w:lang w:val="en-US"/>
        </w:rPr>
        <w:t>467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default"/>
                <w:b/>
                <w:sz w:val="28"/>
                <w:lang w:val="en-US"/>
              </w:rPr>
              <w:t>98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0939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98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connection and mobility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  <w:i w:val="0"/>
                <w:iCs w:val="0"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>. The CR is related to solution #1 to converged charging for access connection in SNPN</w:t>
            </w:r>
            <w:bookmarkStart w:id="28" w:name="_GoBack"/>
            <w:bookmarkEnd w:id="28"/>
            <w:r>
              <w:rPr>
                <w:rFonts w:hint="default"/>
                <w:lang w:val="en-US" w:eastAsia="zh-CN"/>
              </w:rPr>
              <w:t xml:space="preserve"> in clause 5.2.4.1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5.2.5.2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default"/>
                <w:lang w:val="en-US"/>
              </w:rPr>
              <w:t>56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0010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32.291 CR </w:t>
            </w:r>
            <w:r>
              <w:rPr>
                <w:rFonts w:hint="default"/>
                <w:lang w:val="en-US"/>
              </w:rPr>
              <w:t>0474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28026886"/>
      <w:bookmarkStart w:id="2" w:name="_Toc36116721"/>
      <w:bookmarkStart w:id="3" w:name="_Toc51926756"/>
      <w:bookmarkStart w:id="4" w:name="_Toc122779975"/>
      <w:bookmarkStart w:id="5" w:name="_Toc44682905"/>
      <w:bookmarkStart w:id="6" w:name="_Toc20233306"/>
      <w:bookmarkStart w:id="7" w:name="_Toc36112592"/>
      <w:bookmarkStart w:id="8" w:name="_Toc44928807"/>
      <w:bookmarkStart w:id="9" w:name="_Toc105681329"/>
      <w:bookmarkStart w:id="10" w:name="_Toc27579537"/>
      <w:bookmarkStart w:id="11" w:name="_Toc20205554"/>
      <w:bookmarkStart w:id="12" w:name="_Toc44928997"/>
      <w:bookmarkStart w:id="13" w:name="_Toc36045493"/>
      <w:bookmarkStart w:id="14" w:name="_Toc36049373"/>
      <w:bookmarkStart w:id="15" w:name="_Toc51859704"/>
      <w:bookmarkStart w:id="16" w:name="_Toc44664350"/>
      <w:bookmarkStart w:id="17" w:name="_Toc58598859"/>
      <w:r>
        <w:t>5.2.5.2</w:t>
      </w:r>
      <w:r>
        <w:tab/>
      </w:r>
      <w:r>
        <w:t>CHF CDRs</w:t>
      </w:r>
      <w:bookmarkEnd w:id="1"/>
      <w:bookmarkEnd w:id="2"/>
      <w:bookmarkEnd w:id="3"/>
      <w:bookmarkEnd w:id="4"/>
      <w:bookmarkEnd w:id="5"/>
      <w:bookmarkEnd w:id="6"/>
    </w:p>
    <w:p>
      <w:r>
        <w:t>This subclause contains the abstract syntax definitions that are specific to the CHF CDR types defined in this document.</w:t>
      </w:r>
    </w:p>
    <w:p>
      <w:pPr>
        <w:pStyle w:val="111"/>
      </w:pPr>
      <w:r>
        <w:t>.$CHFChargingDataTypes {itu-t (0) identified-organization (4) etsi (0) mobileDomain (0) charging (5) chfChargingDataTypes (15) asn1Module (0) version1 (0)}</w:t>
      </w:r>
    </w:p>
    <w:p>
      <w:pPr>
        <w:pStyle w:val="111"/>
      </w:pPr>
      <w:r>
        <w:t>DEFINITIONS IMPLICIT TAGS</w:t>
      </w:r>
      <w:r>
        <w:tab/>
      </w:r>
      <w:r>
        <w:t>::=</w:t>
      </w:r>
    </w:p>
    <w:p>
      <w:pPr>
        <w:pStyle w:val="111"/>
      </w:pPr>
    </w:p>
    <w:p>
      <w:pPr>
        <w:pStyle w:val="111"/>
      </w:pPr>
      <w:r>
        <w:t>BEGIN</w:t>
      </w:r>
    </w:p>
    <w:p>
      <w:pPr>
        <w:pStyle w:val="111"/>
      </w:pPr>
    </w:p>
    <w:p>
      <w:pPr>
        <w:pStyle w:val="111"/>
      </w:pPr>
      <w:r>
        <w:t xml:space="preserve">-- EXPORTS everything </w:t>
      </w:r>
    </w:p>
    <w:p>
      <w:pPr>
        <w:pStyle w:val="111"/>
      </w:pPr>
    </w:p>
    <w:p>
      <w:pPr>
        <w:pStyle w:val="111"/>
      </w:pPr>
      <w:r>
        <w:t>IMPORTS</w:t>
      </w:r>
      <w:r>
        <w:tab/>
      </w:r>
    </w:p>
    <w:p>
      <w:pPr>
        <w:pStyle w:val="111"/>
      </w:pPr>
    </w:p>
    <w:p>
      <w:pPr>
        <w:pStyle w:val="111"/>
      </w:pPr>
      <w:r>
        <w:t>CallDuration,</w:t>
      </w:r>
    </w:p>
    <w:p>
      <w:pPr>
        <w:pStyle w:val="111"/>
      </w:pPr>
      <w:r>
        <w:t>CauseForRecClosing,</w:t>
      </w:r>
    </w:p>
    <w:p>
      <w:pPr>
        <w:pStyle w:val="111"/>
      </w:pPr>
      <w:r>
        <w:t>ChargingID,</w:t>
      </w:r>
    </w:p>
    <w:p>
      <w:pPr>
        <w:pStyle w:val="111"/>
      </w:pPr>
      <w:r>
        <w:t>DataVolumeOctets,</w:t>
      </w:r>
    </w:p>
    <w:p>
      <w:pPr>
        <w:pStyle w:val="111"/>
      </w:pPr>
      <w:r>
        <w:t>Diagnostics,</w:t>
      </w:r>
    </w:p>
    <w:p>
      <w:pPr>
        <w:pStyle w:val="111"/>
      </w:pPr>
      <w:r>
        <w:t>Ecgi,</w:t>
      </w:r>
    </w:p>
    <w:p>
      <w:pPr>
        <w:pStyle w:val="111"/>
      </w:pPr>
      <w:r>
        <w:t>EnhancedDiagnostics,</w:t>
      </w:r>
    </w:p>
    <w:p>
      <w:pPr>
        <w:pStyle w:val="111"/>
      </w:pPr>
      <w:r>
        <w:t>DynamicAddressFlag,</w:t>
      </w:r>
    </w:p>
    <w:p>
      <w:pPr>
        <w:pStyle w:val="111"/>
      </w:pPr>
      <w:r>
        <w:t>InvolvedParty,</w:t>
      </w:r>
    </w:p>
    <w:p>
      <w:pPr>
        <w:pStyle w:val="111"/>
      </w:pPr>
      <w:r>
        <w:t>IPAddress,</w:t>
      </w:r>
    </w:p>
    <w:p>
      <w:pPr>
        <w:pStyle w:val="111"/>
      </w:pPr>
      <w:r>
        <w:t>LocalSequenceNumber,</w:t>
      </w:r>
    </w:p>
    <w:p>
      <w:pPr>
        <w:pStyle w:val="111"/>
      </w:pPr>
      <w:r>
        <w:t>ManagementExtensions,</w:t>
      </w:r>
    </w:p>
    <w:p>
      <w:pPr>
        <w:pStyle w:val="111"/>
      </w:pPr>
      <w:r>
        <w:t>MessageClass,</w:t>
      </w:r>
    </w:p>
    <w:p>
      <w:pPr>
        <w:pStyle w:val="111"/>
      </w:pPr>
      <w:r>
        <w:t>MessageReference,</w:t>
      </w:r>
    </w:p>
    <w:p>
      <w:pPr>
        <w:pStyle w:val="111"/>
      </w:pPr>
      <w:r>
        <w:t>MSCAddress,</w:t>
      </w:r>
    </w:p>
    <w:p>
      <w:pPr>
        <w:pStyle w:val="111"/>
      </w:pPr>
      <w:r>
        <w:t>MSISDN,</w:t>
      </w:r>
    </w:p>
    <w:p>
      <w:pPr>
        <w:pStyle w:val="111"/>
      </w:pPr>
      <w:r>
        <w:t>MSTimeZone,</w:t>
      </w:r>
    </w:p>
    <w:p>
      <w:pPr>
        <w:pStyle w:val="111"/>
      </w:pPr>
      <w:r>
        <w:t>Ncgi,</w:t>
      </w:r>
    </w:p>
    <w:p>
      <w:pPr>
        <w:pStyle w:val="111"/>
      </w:pPr>
      <w:r>
        <w:t>Nid,</w:t>
      </w:r>
    </w:p>
    <w:p>
      <w:pPr>
        <w:pStyle w:val="111"/>
      </w:pPr>
      <w:r>
        <w:t>NodeAddress,</w:t>
      </w:r>
    </w:p>
    <w:p>
      <w:pPr>
        <w:pStyle w:val="111"/>
      </w:pPr>
      <w:r>
        <w:t>PLMN-Id,</w:t>
      </w:r>
    </w:p>
    <w:p>
      <w:pPr>
        <w:pStyle w:val="111"/>
      </w:pPr>
      <w:r>
        <w:t>PriorityType,</w:t>
      </w:r>
    </w:p>
    <w:p>
      <w:pPr>
        <w:pStyle w:val="111"/>
      </w:pPr>
      <w:r>
        <w:t>PSCellInformation,</w:t>
      </w:r>
    </w:p>
    <w:p>
      <w:pPr>
        <w:pStyle w:val="111"/>
      </w:pPr>
      <w:r>
        <w:t>RANNASCause,</w:t>
      </w:r>
    </w:p>
    <w:p>
      <w:pPr>
        <w:pStyle w:val="111"/>
      </w:pPr>
      <w:r>
        <w:t>RecordType,</w:t>
      </w:r>
    </w:p>
    <w:p>
      <w:pPr>
        <w:pStyle w:val="111"/>
      </w:pPr>
      <w:r>
        <w:t>ServiceSpecificInfo,</w:t>
      </w:r>
    </w:p>
    <w:p>
      <w:pPr>
        <w:pStyle w:val="111"/>
      </w:pPr>
      <w:r>
        <w:t>Session-Id,</w:t>
      </w:r>
    </w:p>
    <w:p>
      <w:pPr>
        <w:pStyle w:val="111"/>
      </w:pPr>
      <w:r>
        <w:t>SubscriberEquipmentNumber,</w:t>
      </w:r>
    </w:p>
    <w:p>
      <w:pPr>
        <w:pStyle w:val="111"/>
      </w:pPr>
      <w:r>
        <w:t>SubscriptionID,</w:t>
      </w:r>
    </w:p>
    <w:p>
      <w:pPr>
        <w:pStyle w:val="111"/>
      </w:pPr>
      <w:r>
        <w:t>ThreeGPPPSDataOffStatus,</w:t>
      </w:r>
    </w:p>
    <w:p>
      <w:pPr>
        <w:pStyle w:val="111"/>
      </w:pPr>
      <w:r>
        <w:t>TimeStamp</w:t>
      </w:r>
    </w:p>
    <w:p>
      <w:pPr>
        <w:pStyle w:val="111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111"/>
      </w:pPr>
    </w:p>
    <w:p>
      <w:pPr>
        <w:pStyle w:val="111"/>
      </w:pPr>
      <w:r>
        <w:t>AddressString,</w:t>
      </w:r>
    </w:p>
    <w:p>
      <w:pPr>
        <w:pStyle w:val="111"/>
      </w:pPr>
      <w:r>
        <w:t>IMSI</w:t>
      </w:r>
    </w:p>
    <w:p>
      <w:pPr>
        <w:pStyle w:val="111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111"/>
      </w:pPr>
    </w:p>
    <w:p>
      <w:pPr>
        <w:pStyle w:val="111"/>
      </w:pPr>
      <w:r>
        <w:t>ChargingCharacteristics,</w:t>
      </w:r>
    </w:p>
    <w:p>
      <w:pPr>
        <w:pStyle w:val="111"/>
      </w:pPr>
      <w:r>
        <w:t>ChargingRuleBaseName,</w:t>
      </w:r>
    </w:p>
    <w:p>
      <w:pPr>
        <w:pStyle w:val="111"/>
      </w:pPr>
      <w:r>
        <w:t>ChChSelectionMode,</w:t>
      </w:r>
    </w:p>
    <w:p>
      <w:pPr>
        <w:pStyle w:val="111"/>
      </w:pPr>
      <w:r>
        <w:t>EventBasedChargingInformation,</w:t>
      </w:r>
    </w:p>
    <w:p>
      <w:pPr>
        <w:pStyle w:val="111"/>
      </w:pPr>
      <w:r>
        <w:t>PresenceReportingAreaInfo,</w:t>
      </w:r>
    </w:p>
    <w:p>
      <w:pPr>
        <w:pStyle w:val="111"/>
      </w:pPr>
      <w:r>
        <w:t>RatingGroupId,</w:t>
      </w:r>
    </w:p>
    <w:p>
      <w:pPr>
        <w:pStyle w:val="111"/>
      </w:pPr>
      <w:r>
        <w:t>ServiceIdentifier</w:t>
      </w:r>
    </w:p>
    <w:p>
      <w:pPr>
        <w:pStyle w:val="111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111"/>
      </w:pPr>
    </w:p>
    <w:p>
      <w:pPr>
        <w:pStyle w:val="111"/>
      </w:pPr>
      <w:r>
        <w:t>OriginatorInfo,</w:t>
      </w:r>
    </w:p>
    <w:p>
      <w:pPr>
        <w:pStyle w:val="111"/>
      </w:pPr>
      <w:r>
        <w:t>RecipientInfo,</w:t>
      </w:r>
    </w:p>
    <w:p>
      <w:pPr>
        <w:pStyle w:val="111"/>
      </w:pPr>
      <w:r>
        <w:t>SMAddressInfo,</w:t>
      </w:r>
    </w:p>
    <w:p>
      <w:pPr>
        <w:pStyle w:val="111"/>
      </w:pPr>
      <w:r>
        <w:t>SMMessageType,</w:t>
      </w:r>
    </w:p>
    <w:p>
      <w:pPr>
        <w:pStyle w:val="111"/>
      </w:pPr>
      <w:r>
        <w:t>SMSResult,</w:t>
      </w:r>
    </w:p>
    <w:p>
      <w:pPr>
        <w:pStyle w:val="111"/>
      </w:pPr>
      <w:r>
        <w:t>SMSStatus</w:t>
      </w:r>
    </w:p>
    <w:p>
      <w:pPr>
        <w:pStyle w:val="111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111"/>
      </w:pPr>
    </w:p>
    <w:p>
      <w:pPr>
        <w:pStyle w:val="111"/>
      </w:pPr>
      <w:r>
        <w:t>APIDirection</w:t>
      </w:r>
    </w:p>
    <w:p>
      <w:pPr>
        <w:pStyle w:val="111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111"/>
      </w:pPr>
    </w:p>
    <w:p>
      <w:pPr>
        <w:pStyle w:val="111"/>
      </w:pPr>
      <w:r>
        <w:t>SupplService</w:t>
      </w:r>
    </w:p>
    <w:p>
      <w:pPr>
        <w:pStyle w:val="111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AccessNetworkInfoChange,</w:t>
      </w:r>
    </w:p>
    <w:p>
      <w:pPr>
        <w:pStyle w:val="111"/>
      </w:pPr>
      <w:r>
        <w:t>AccessTransferInformation,</w:t>
      </w:r>
    </w:p>
    <w:p>
      <w:pPr>
        <w:pStyle w:val="111"/>
      </w:pPr>
      <w:r>
        <w:t>ApplicationServersInformation,</w:t>
      </w:r>
    </w:p>
    <w:p>
      <w:pPr>
        <w:pStyle w:val="111"/>
      </w:pPr>
      <w:r>
        <w:t>CalledIdentityChange,</w:t>
      </w:r>
    </w:p>
    <w:p>
      <w:pPr>
        <w:pStyle w:val="111"/>
      </w:pPr>
      <w:r>
        <w:t>CarrierSelectRouting,</w:t>
      </w:r>
    </w:p>
    <w:p>
      <w:pPr>
        <w:pStyle w:val="111"/>
      </w:pPr>
      <w:r>
        <w:t>Early-Media-Components-List,</w:t>
      </w:r>
    </w:p>
    <w:p>
      <w:pPr>
        <w:pStyle w:val="111"/>
      </w:pPr>
      <w:r>
        <w:t>FEIdentifierList,</w:t>
      </w:r>
    </w:p>
    <w:p>
      <w:pPr>
        <w:pStyle w:val="111"/>
      </w:pPr>
      <w:r>
        <w:t>IMS-Charging-Identifier,</w:t>
      </w:r>
    </w:p>
    <w:p>
      <w:pPr>
        <w:pStyle w:val="111"/>
      </w:pPr>
      <w:r>
        <w:t>IMSCommunicationServiceIdentifier,</w:t>
      </w:r>
    </w:p>
    <w:p>
      <w:pPr>
        <w:pStyle w:val="111"/>
      </w:pPr>
      <w:r>
        <w:t>IMSNodeFunctionality,</w:t>
      </w:r>
    </w:p>
    <w:p>
      <w:pPr>
        <w:pStyle w:val="111"/>
      </w:pPr>
      <w:r>
        <w:t>InterOperatorIdentifiers,</w:t>
      </w:r>
    </w:p>
    <w:p>
      <w:pPr>
        <w:pStyle w:val="111"/>
      </w:pPr>
      <w:r>
        <w:t>ISUPCause,</w:t>
      </w:r>
    </w:p>
    <w:p>
      <w:pPr>
        <w:pStyle w:val="111"/>
      </w:pPr>
      <w:r>
        <w:t>ListOfInvolvedParties,</w:t>
      </w:r>
    </w:p>
    <w:p>
      <w:pPr>
        <w:pStyle w:val="111"/>
      </w:pPr>
      <w:r>
        <w:t>ListOfReasonHeader,</w:t>
      </w:r>
    </w:p>
    <w:p>
      <w:pPr>
        <w:pStyle w:val="111"/>
      </w:pPr>
      <w:r>
        <w:t>MessageBody,</w:t>
      </w:r>
    </w:p>
    <w:p>
      <w:pPr>
        <w:pStyle w:val="111"/>
      </w:pPr>
      <w:r>
        <w:t>NNI-Information,</w:t>
      </w:r>
    </w:p>
    <w:p>
      <w:pPr>
        <w:pStyle w:val="111"/>
      </w:pPr>
      <w:r>
        <w:t>NumberPortabilityRouting,</w:t>
      </w:r>
    </w:p>
    <w:p>
      <w:pPr>
        <w:pStyle w:val="111"/>
      </w:pPr>
      <w:r>
        <w:t>Role-of-Node,</w:t>
      </w:r>
    </w:p>
    <w:p>
      <w:pPr>
        <w:pStyle w:val="111"/>
      </w:pPr>
      <w:r>
        <w:t>S-CSCF-Information,</w:t>
      </w:r>
    </w:p>
    <w:p>
      <w:pPr>
        <w:pStyle w:val="111"/>
      </w:pPr>
      <w:r>
        <w:t>SDP-Media-Component,</w:t>
      </w:r>
    </w:p>
    <w:p>
      <w:pPr>
        <w:pStyle w:val="111"/>
      </w:pPr>
      <w:r>
        <w:t>ServedPartyIPAddress,</w:t>
      </w:r>
    </w:p>
    <w:p>
      <w:pPr>
        <w:pStyle w:val="111"/>
      </w:pPr>
      <w:r>
        <w:t>Service-Id,</w:t>
      </w:r>
    </w:p>
    <w:p>
      <w:pPr>
        <w:pStyle w:val="111"/>
      </w:pPr>
      <w:r>
        <w:t>SessionPriority,</w:t>
      </w:r>
    </w:p>
    <w:p>
      <w:pPr>
        <w:pStyle w:val="111"/>
      </w:pPr>
      <w:r>
        <w:t>SIPEventType,</w:t>
      </w:r>
    </w:p>
    <w:p>
      <w:pPr>
        <w:pStyle w:val="111"/>
      </w:pPr>
      <w:r>
        <w:t>TADIdentifier,</w:t>
      </w:r>
    </w:p>
    <w:p>
      <w:pPr>
        <w:pStyle w:val="111"/>
      </w:pPr>
      <w:r>
        <w:t>TransitIOILists,</w:t>
      </w:r>
    </w:p>
    <w:p>
      <w:pPr>
        <w:pStyle w:val="111"/>
      </w:pPr>
      <w:r>
        <w:t>TransmissionMedium,</w:t>
      </w:r>
    </w:p>
    <w:p>
      <w:pPr>
        <w:pStyle w:val="111"/>
      </w:pPr>
      <w:r>
        <w:t>TrunkGroupID</w:t>
      </w:r>
    </w:p>
    <w:p>
      <w:pPr>
        <w:pStyle w:val="111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111"/>
      </w:pPr>
    </w:p>
    <w:p>
      <w:pPr>
        <w:pStyle w:val="111"/>
      </w:pPr>
      <w:r>
        <w:t>AppSpecificData,</w:t>
      </w:r>
    </w:p>
    <w:p>
      <w:pPr>
        <w:pStyle w:val="111"/>
      </w:pPr>
      <w:r>
        <w:t>ProseFunctionality,</w:t>
      </w:r>
    </w:p>
    <w:p>
      <w:pPr>
        <w:pStyle w:val="111"/>
      </w:pPr>
      <w:r>
        <w:t>ProSeEventType,</w:t>
      </w:r>
    </w:p>
    <w:p>
      <w:pPr>
        <w:pStyle w:val="111"/>
      </w:pPr>
      <w:r>
        <w:t>ProSeUERole,</w:t>
      </w:r>
    </w:p>
    <w:p>
      <w:pPr>
        <w:pStyle w:val="111"/>
      </w:pPr>
      <w:r>
        <w:t>RangeClass,</w:t>
      </w:r>
    </w:p>
    <w:p>
      <w:pPr>
        <w:pStyle w:val="111"/>
      </w:pPr>
      <w:r>
        <w:t>ProximityAlertIndication,</w:t>
      </w:r>
    </w:p>
    <w:p>
      <w:pPr>
        <w:pStyle w:val="111"/>
      </w:pPr>
      <w:r>
        <w:t>ChangeOfProSeCondition,</w:t>
      </w:r>
    </w:p>
    <w:p>
      <w:pPr>
        <w:pStyle w:val="111"/>
      </w:pPr>
      <w:r>
        <w:t>CoverageInfo,</w:t>
      </w:r>
    </w:p>
    <w:p>
      <w:pPr>
        <w:pStyle w:val="111"/>
      </w:pPr>
      <w:r>
        <w:t>RadioParameterSetInfo,</w:t>
      </w:r>
    </w:p>
    <w:p>
      <w:pPr>
        <w:pStyle w:val="111"/>
      </w:pPr>
      <w:r>
        <w:t>TransmitterInfo</w:t>
      </w:r>
    </w:p>
    <w:p>
      <w:pPr>
        <w:pStyle w:val="111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111"/>
      </w:pPr>
      <w:r>
        <w:t>;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 CHF RECORDS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CHFRecord</w:t>
      </w:r>
      <w:r>
        <w:tab/>
      </w:r>
      <w:r>
        <w:t xml:space="preserve">::= CHOICE </w:t>
      </w:r>
    </w:p>
    <w:p>
      <w:pPr>
        <w:pStyle w:val="111"/>
      </w:pPr>
      <w:r>
        <w:t>--</w:t>
      </w:r>
    </w:p>
    <w:p>
      <w:pPr>
        <w:pStyle w:val="111"/>
      </w:pPr>
      <w:r>
        <w:t>-- Record values 200..201 are specific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ChargingRecord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111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111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111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111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111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111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111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111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111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111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111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111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111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111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111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111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111"/>
      </w:pPr>
      <w:r>
        <w:tab/>
      </w:r>
      <w:r>
        <w:t>locationReportingChargingInformation</w:t>
      </w:r>
      <w:r>
        <w:tab/>
      </w:r>
      <w:r>
        <w:t>[21] LocationReportingChargingInformation OPTIONAL,</w:t>
      </w:r>
    </w:p>
    <w:p>
      <w:pPr>
        <w:pStyle w:val="111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111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111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111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111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111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111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111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ab/>
      </w:r>
      <w:r>
        <w:t>[31] EASDeploymentChargingInformation OPTIONAL,</w:t>
      </w:r>
    </w:p>
    <w:p>
      <w:pPr>
        <w:pStyle w:val="111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111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111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111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111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111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PDU Session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PDUSessionChargingInformation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111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111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111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111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111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111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111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111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111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111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111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18" w:name="_Hlk122779607"/>
      <w:r>
        <w:tab/>
      </w:r>
      <w:bookmarkEnd w:id="18"/>
      <w:r>
        <w:tab/>
      </w:r>
      <w:r>
        <w:tab/>
      </w:r>
      <w:r>
        <w:t>[22] ThreeGPPPSDataOffStatus OPTIONAL,</w:t>
      </w:r>
    </w:p>
    <w:p>
      <w:pPr>
        <w:pStyle w:val="111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111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111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111"/>
        <w:rPr>
          <w:lang w:val="en-US"/>
        </w:rPr>
      </w:pPr>
      <w:r>
        <w:tab/>
      </w:r>
      <w:bookmarkStart w:id="19" w:name="_Hlk47110351"/>
      <w:r>
        <w:t>mA</w:t>
      </w:r>
      <w:r>
        <w:rPr>
          <w:lang w:val="en-US"/>
        </w:rPr>
        <w:t>PDUNonThreeGPPUserLocationInfo</w:t>
      </w:r>
      <w:bookmarkEnd w:id="19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111"/>
      </w:pPr>
      <w:r>
        <w:tab/>
      </w:r>
      <w:bookmarkStart w:id="20" w:name="_Hlk47110506"/>
      <w:r>
        <w:t>mAPDUNonThreeGPPRATType</w:t>
      </w:r>
      <w:bookmarkEnd w:id="20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111"/>
      </w:pPr>
      <w:r>
        <w:tab/>
      </w:r>
      <w:bookmarkStart w:id="21" w:name="_Hlk47110597"/>
      <w:r>
        <w:t>mAPDUSessionInformation</w:t>
      </w:r>
      <w:bookmarkEnd w:id="21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111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bookmarkStart w:id="22" w:name="_Hlk114130584"/>
      <w:r>
        <w:tab/>
      </w:r>
      <w:r>
        <w:tab/>
      </w:r>
      <w:bookmarkEnd w:id="22"/>
      <w:r>
        <w:t>[35] UserLocationInformationStructured OPTIONAL,</w:t>
      </w:r>
    </w:p>
    <w:p>
      <w:pPr>
        <w:pStyle w:val="111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111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111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111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111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111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111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111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111"/>
        <w:rPr>
          <w:rFonts w:hint="default"/>
          <w:lang w:val="en-US"/>
        </w:rPr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Roaming QBC Information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RoamingQBCInformation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111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SMS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111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111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111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111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111"/>
      </w:pPr>
      <w:r>
        <w:t>-- 9 to 19 is for future use</w:t>
      </w:r>
    </w:p>
    <w:p>
      <w:pPr>
        <w:pStyle w:val="111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111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111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111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111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111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111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111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111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111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111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111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111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111"/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Exposure Function API Information corresponds to NEF API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ExposureFunctionAPIInformation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>-- This UTF8Stringis based on the string specified in TS 29.571 [249]</w:t>
      </w:r>
    </w:p>
    <w:p>
      <w:pPr>
        <w:pStyle w:val="111"/>
      </w:pPr>
      <w:r>
        <w:t>-- The string may also be based on AddressString.</w:t>
      </w:r>
    </w:p>
    <w:p>
      <w:pPr>
        <w:pStyle w:val="111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111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111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111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111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111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111"/>
      </w:pPr>
      <w:r>
        <w:tab/>
      </w:r>
      <w:r>
        <w:t>externalIndividualIdentifier</w:t>
      </w:r>
      <w:r>
        <w:tab/>
      </w:r>
      <w:r>
        <w:t>[7] InvolvedParty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111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111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Registration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RegistrationChargingInformation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111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111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111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111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  <w:rPr>
          <w:ins w:id="0" w:author="CMCC" w:date="2023-05-10T17:56:04Z"/>
        </w:rPr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</w:t>
      </w:r>
      <w:ins w:id="1" w:author="CMCC" w:date="2023-05-10T17:56:18Z">
        <w:r>
          <w:rPr/>
          <w:t>,</w:t>
        </w:r>
      </w:ins>
    </w:p>
    <w:p>
      <w:pPr>
        <w:pStyle w:val="111"/>
        <w:rPr>
          <w:ins w:id="2" w:author="CMCC" w:date="2023-05-10T17:56:04Z"/>
          <w:rFonts w:hint="default"/>
          <w:lang w:val="en-US"/>
        </w:rPr>
      </w:pPr>
      <w:ins w:id="3" w:author="CMCC" w:date="2023-05-10T17:56:04Z">
        <w:r>
          <w:rPr>
            <w:rFonts w:hint="default"/>
            <w:lang w:val="en-US"/>
          </w:rPr>
          <w:tab/>
        </w:r>
      </w:ins>
      <w:ins w:id="4" w:author="CMCC" w:date="2023-05-10T17:56:04Z">
        <w:r>
          <w:rPr>
            <w:rFonts w:hint="default"/>
            <w:lang w:val="en-US"/>
          </w:rPr>
          <w:t>sNPNID</w:t>
        </w:r>
      </w:ins>
      <w:ins w:id="5" w:author="CMCC" w:date="2023-05-10T17:56:04Z">
        <w:r>
          <w:rPr>
            <w:rFonts w:hint="default"/>
            <w:lang w:val="en-US"/>
          </w:rPr>
          <w:tab/>
        </w:r>
      </w:ins>
      <w:ins w:id="6" w:author="CMCC" w:date="2023-05-10T17:56:04Z">
        <w:r>
          <w:rPr>
            <w:rFonts w:hint="default"/>
            <w:lang w:val="en-US"/>
          </w:rPr>
          <w:tab/>
        </w:r>
      </w:ins>
      <w:ins w:id="7" w:author="CMCC" w:date="2023-05-10T17:56:04Z">
        <w:r>
          <w:rPr>
            <w:rFonts w:hint="default"/>
            <w:lang w:val="en-US"/>
          </w:rPr>
          <w:tab/>
        </w:r>
      </w:ins>
      <w:ins w:id="8" w:author="CMCC" w:date="2023-05-10T17:56:04Z">
        <w:r>
          <w:rPr>
            <w:rFonts w:hint="default"/>
            <w:lang w:val="en-US"/>
          </w:rPr>
          <w:tab/>
        </w:r>
      </w:ins>
      <w:ins w:id="9" w:author="CMCC" w:date="2023-05-10T17:56:04Z">
        <w:r>
          <w:rPr>
            <w:rFonts w:hint="default"/>
            <w:lang w:val="en-US"/>
          </w:rPr>
          <w:tab/>
        </w:r>
      </w:ins>
      <w:ins w:id="10" w:author="CMCC" w:date="2023-05-10T17:56:04Z">
        <w:r>
          <w:rPr>
            <w:rFonts w:hint="default"/>
            <w:lang w:val="en-US"/>
          </w:rPr>
          <w:tab/>
        </w:r>
      </w:ins>
      <w:ins w:id="11" w:author="CMCC" w:date="2023-05-10T17:56:04Z">
        <w:r>
          <w:rPr>
            <w:rFonts w:hint="default"/>
            <w:lang w:val="en-US"/>
          </w:rPr>
          <w:tab/>
        </w:r>
      </w:ins>
      <w:ins w:id="12" w:author="CMCC" w:date="2023-05-10T17:56:04Z">
        <w:r>
          <w:rPr>
            <w:rFonts w:hint="default"/>
            <w:lang w:val="en-US"/>
          </w:rPr>
          <w:tab/>
        </w:r>
      </w:ins>
      <w:ins w:id="13" w:author="CMCC" w:date="2023-05-10T17:56:04Z">
        <w:r>
          <w:rPr/>
          <w:t>[</w:t>
        </w:r>
      </w:ins>
      <w:ins w:id="14" w:author="CMCC" w:date="2023-05-10T17:56:13Z">
        <w:r>
          <w:rPr>
            <w:rFonts w:hint="default"/>
            <w:lang w:val="en-US"/>
          </w:rPr>
          <w:t>23</w:t>
        </w:r>
      </w:ins>
      <w:ins w:id="15" w:author="CMCC" w:date="2023-05-10T17:56:04Z">
        <w:r>
          <w:rPr/>
          <w:t xml:space="preserve">] </w:t>
        </w:r>
      </w:ins>
      <w:ins w:id="16" w:author="CMCC" w:date="2023-05-10T17:56:04Z">
        <w:r>
          <w:rPr>
            <w:rFonts w:hint="eastAsia"/>
          </w:rPr>
          <w:t>PlmnIdNid</w:t>
        </w:r>
      </w:ins>
      <w:ins w:id="17" w:author="CMCC" w:date="2023-05-10T17:56:04Z">
        <w:r>
          <w:rPr/>
          <w:t xml:space="preserve"> OPTIONAL</w:t>
        </w:r>
      </w:ins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 xml:space="preserve">-- N2 connection charging Information 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N2ConnectionChargingInformation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111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111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spacing w:line="0" w:lineRule="atLeast"/>
        <w:rPr>
          <w:snapToGrid w:val="0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Location reporting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LocationReportingChargingInformation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111"/>
      </w:pPr>
      <w:bookmarkStart w:id="23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23"/>
      <w:r>
        <w:t>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[12] SEQUENCE OF PresenceReportingAreaInfo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Network Slice Performance and Analytics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NSM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28.541 [254]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NSMChargingInformation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111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111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111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111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111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MMTel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32.275 [35]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IMS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32.260 [20]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111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111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111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111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111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111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111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111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111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111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111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111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111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111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111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111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111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111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111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111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111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111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111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111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111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111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111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111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111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111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111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111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111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111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111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111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111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111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111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1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111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111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111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111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111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111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111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111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111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111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Edge Enabling Infrastructure Resource Usage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EdgeInfrastructureUsageChargingInformation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111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111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111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TimeStamp,</w:t>
      </w:r>
    </w:p>
    <w:p>
      <w:pPr>
        <w:pStyle w:val="111"/>
        <w:rPr>
          <w:lang w:val="en-US"/>
        </w:rPr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EAS Deployment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EASDeploymentChargingInformation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EASDeploymentRequirements,</w:t>
      </w:r>
    </w:p>
    <w:p>
      <w:pPr>
        <w:pStyle w:val="111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  <w:rPr>
          <w:lang w:val="en-US"/>
        </w:rPr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Prose Charging Information--</w:t>
      </w:r>
    </w:p>
    <w:p>
      <w:pPr>
        <w:pStyle w:val="111"/>
      </w:pPr>
      <w:r>
        <w:t>--</w:t>
      </w:r>
    </w:p>
    <w:p>
      <w:pPr>
        <w:pStyle w:val="111"/>
      </w:pPr>
      <w:r>
        <w:t>-- See TS 32.277 [34] for more information</w:t>
      </w:r>
    </w:p>
    <w:p>
      <w:pPr>
        <w:pStyle w:val="111"/>
      </w:pPr>
      <w:r>
        <w:t>-- See clause 5.2.4.7 for ProSe CDR types definition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111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111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111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111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111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111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111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111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111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111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111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111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111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111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111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111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111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111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111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111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111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111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111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111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111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111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111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MMS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MMSChargingInformation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111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111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111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111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111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111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111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111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111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111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111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111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111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111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CHF CHARGING TYPES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A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AffinityAntiAffinity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111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AgeOfLocationInformation 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AdministrativeState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111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111"/>
      </w:pPr>
      <w:r>
        <w:tab/>
      </w:r>
      <w:r>
        <w:t>sHUTTINGDOWN 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AllocationRetentionPriority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111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111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AMFID</w:t>
      </w:r>
      <w:r>
        <w:tab/>
      </w:r>
      <w:r>
        <w:t>::= OCTET STRING (SIZE(3..6))</w:t>
      </w:r>
    </w:p>
    <w:p>
      <w:pPr>
        <w:pStyle w:val="111"/>
      </w:pPr>
      <w:r>
        <w:t>-- See subclause 2.10.1 of 3GPP TS 23.003 [7] for encoding.</w:t>
      </w:r>
    </w:p>
    <w:p>
      <w:pPr>
        <w:pStyle w:val="111"/>
      </w:pPr>
      <w:r>
        <w:t>-- Any byte following the 3 first shall be set to ”F”</w:t>
      </w:r>
    </w:p>
    <w:p>
      <w:pPr>
        <w:pStyle w:val="111"/>
      </w:pPr>
    </w:p>
    <w:p>
      <w:pPr>
        <w:pStyle w:val="111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111"/>
      </w:pPr>
    </w:p>
    <w:p>
      <w:pPr>
        <w:pStyle w:val="111"/>
      </w:pPr>
      <w:r>
        <w:t>APIOperation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111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111"/>
      </w:pPr>
      <w:r>
        <w:t>}</w:t>
      </w:r>
    </w:p>
    <w:p>
      <w:pPr>
        <w:pStyle w:val="111"/>
      </w:pPr>
      <w:r>
        <w:t>APIResultCode</w:t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</w:pPr>
      <w:r>
        <w:t>-- See specific API for more information</w:t>
      </w:r>
    </w:p>
    <w:p>
      <w:pPr>
        <w:pStyle w:val="111"/>
      </w:pPr>
      <w:r>
        <w:t>--</w:t>
      </w:r>
    </w:p>
    <w:p>
      <w:pPr>
        <w:pStyle w:val="111"/>
      </w:pPr>
      <w:r>
        <w:t>Area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111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111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AuthorizedQoSInformation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Bitrate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 See 3GPP TS 29.571 [249] Bitrate data type.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CellGlobalId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>CellId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ChargingSessionIdentifier</w:t>
      </w:r>
      <w:r>
        <w:tab/>
      </w:r>
      <w:r>
        <w:t>::= OCTET STRING</w:t>
      </w:r>
    </w:p>
    <w:p>
      <w:pPr>
        <w:pStyle w:val="111"/>
      </w:pPr>
      <w:r>
        <w:t>-- See 3GPP TS 32.290 [57] for details.</w:t>
      </w:r>
    </w:p>
    <w:p>
      <w:pPr>
        <w:pStyle w:val="111"/>
      </w:pPr>
    </w:p>
    <w:p>
      <w:pPr>
        <w:pStyle w:val="111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DataNetworkNameIdentifier</w:t>
      </w:r>
      <w:r>
        <w:tab/>
      </w:r>
      <w:r>
        <w:t>::= IA5String (SIZE(1..63))</w:t>
      </w:r>
    </w:p>
    <w:p>
      <w:pPr>
        <w:pStyle w:val="111"/>
      </w:pPr>
      <w:r>
        <w:t>--</w:t>
      </w:r>
    </w:p>
    <w:p>
      <w:pPr>
        <w:pStyle w:val="111"/>
      </w:pPr>
      <w:r>
        <w:t>-- Network Identifier part of DNN in dot representation.</w:t>
      </w:r>
    </w:p>
    <w:p>
      <w:pPr>
        <w:pStyle w:val="111"/>
      </w:pPr>
      <w:r>
        <w:t>-- For example, if the complete DNN is 'apn1a.apn1b.apn1c.mnc022.mcc111.gprs'</w:t>
      </w:r>
    </w:p>
    <w:p>
      <w:pPr>
        <w:pStyle w:val="111"/>
      </w:pPr>
      <w:r>
        <w:t>-- The Identifier is 'apn1a.apn1b.apn1c' and is presented in this form in the CDR.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DNNSelectionMode</w:t>
      </w:r>
      <w:r>
        <w:tab/>
      </w:r>
      <w:r>
        <w:t>::= ENUMERATED</w:t>
      </w:r>
    </w:p>
    <w:p>
      <w:pPr>
        <w:pStyle w:val="111"/>
      </w:pPr>
      <w:r>
        <w:t>--</w:t>
      </w:r>
    </w:p>
    <w:p>
      <w:pPr>
        <w:pStyle w:val="111"/>
      </w:pPr>
      <w:r>
        <w:t>-- See Information Elements TS 29.502 [250] for more information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28.538 [256]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EASDeploymentRequirements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111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111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111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ENbId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  <w:rPr>
          <w:lang w:val="fr-FR"/>
        </w:rPr>
      </w:pPr>
      <w:r>
        <w:rPr>
          <w:lang w:val="fr-FR"/>
        </w:rPr>
        <w:t>--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111"/>
        <w:rPr>
          <w:lang w:val="fr-FR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111"/>
      </w:pPr>
      <w:r>
        <w:t>{</w:t>
      </w:r>
    </w:p>
    <w:p>
      <w:pPr>
        <w:pStyle w:val="111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FiveGMMCapability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FiveGQoSInformation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111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111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</w:p>
    <w:p>
      <w:pPr>
        <w:pStyle w:val="111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UTF8String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</w:pPr>
      <w:r>
        <w:t>GeraLocation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locationNumber              [0] LocationNumber OPTIONAL,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111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111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111"/>
        <w:rPr>
          <w:snapToGrid w:val="0"/>
        </w:rPr>
      </w:pPr>
      <w:r>
        <w:rPr>
          <w:snapToGrid w:val="0"/>
        </w:rPr>
        <w:t>{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111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111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111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111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111"/>
        <w:rPr>
          <w:snapToGrid w:val="0"/>
        </w:rPr>
      </w:pPr>
    </w:p>
    <w:p>
      <w:pPr>
        <w:pStyle w:val="111"/>
      </w:pPr>
      <w:r>
        <w:t>GNbId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bitLength</w:t>
      </w:r>
      <w:r>
        <w:tab/>
      </w:r>
      <w:r>
        <w:t>[0] INTEGER,</w:t>
      </w:r>
    </w:p>
    <w:p>
      <w:pPr>
        <w:pStyle w:val="111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H</w:t>
      </w:r>
    </w:p>
    <w:p>
      <w:pPr>
        <w:pStyle w:val="111"/>
      </w:pPr>
      <w:r>
        <w:t xml:space="preserve">-- </w:t>
      </w:r>
    </w:p>
    <w:p>
      <w:pPr>
        <w:pStyle w:val="111"/>
      </w:pPr>
      <w:r>
        <w:t>HFCNodeId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111"/>
      </w:pPr>
      <w:r>
        <w:t>-- The values are TRUE if the corresponding message was lost, FALSE if it is not lost</w:t>
      </w:r>
    </w:p>
    <w:p>
      <w:pPr>
        <w:pStyle w:val="111"/>
      </w:pPr>
      <w:r>
        <w:t>-- and not included if the status is unknown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111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111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111"/>
      </w:pPr>
      <w:r>
        <w:t xml:space="preserve">-- </w:t>
      </w:r>
    </w:p>
    <w:p>
      <w:pPr>
        <w:pStyle w:val="111"/>
      </w:pPr>
      <w:r>
        <w:t>Lac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LineType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111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111"/>
        <w:rPr>
          <w:lang w:val="en-US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modifyMOIAttributes</w:t>
      </w:r>
      <w:r>
        <w:tab/>
      </w:r>
      <w:r>
        <w:t>(1),</w:t>
      </w:r>
    </w:p>
    <w:p>
      <w:pPr>
        <w:pStyle w:val="111"/>
      </w:pPr>
      <w:r>
        <w:tab/>
      </w:r>
      <w:r>
        <w:t>deleteMOI</w:t>
      </w:r>
      <w:r>
        <w:tab/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oPERATION-SUCCEEDED</w:t>
      </w:r>
      <w:r>
        <w:tab/>
      </w:r>
      <w:r>
        <w:t>(0),</w:t>
      </w:r>
    </w:p>
    <w:p>
      <w:pPr>
        <w:pStyle w:val="111"/>
      </w:pPr>
      <w:r>
        <w:tab/>
      </w:r>
      <w:r>
        <w:t>oPERATION-FAILED</w:t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bookmarkStart w:id="24" w:name="_Hlk47110839"/>
      <w:r>
        <w:t>MAPDUSessionIndicator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111"/>
        <w:rPr>
          <w:lang w:val="en-US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111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111"/>
      </w:pPr>
    </w:p>
    <w:p>
      <w:pPr>
        <w:pStyle w:val="111"/>
      </w:pPr>
      <w:r>
        <w:t>}</w:t>
      </w:r>
    </w:p>
    <w:bookmarkEnd w:id="24"/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25" w:name="_Hlk47430212"/>
      <w:r>
        <w:t>SteerModeValue</w:t>
      </w:r>
      <w:bookmarkEnd w:id="25"/>
      <w:r>
        <w:t xml:space="preserve"> OPTIONAL,</w:t>
      </w:r>
    </w:p>
    <w:p>
      <w:pPr>
        <w:pStyle w:val="111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111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111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MMAddContentInfo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MMContentType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MMOriginatorInfo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MMRecipientInfo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MobilityLevel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restrictedMobility</w:t>
      </w:r>
      <w:r>
        <w:tab/>
      </w:r>
      <w:r>
        <w:t>(2),</w:t>
      </w:r>
    </w:p>
    <w:p>
      <w:pPr>
        <w:pStyle w:val="111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MscNumber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111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111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111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111"/>
      </w:pPr>
      <w:r>
        <w:t xml:space="preserve">-- </w:t>
      </w:r>
    </w:p>
    <w:p>
      <w:pPr>
        <w:pStyle w:val="111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111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111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111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111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}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111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NetworkAreaInfo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111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111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111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NetworkFunctionInformation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111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111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NetworkFunctionName</w:t>
      </w:r>
      <w:r>
        <w:tab/>
      </w:r>
      <w:r>
        <w:t>::= IA5String (SIZE(1..36))</w:t>
      </w:r>
    </w:p>
    <w:p>
      <w:pPr>
        <w:pStyle w:val="111"/>
      </w:pPr>
      <w:r>
        <w:t>-- Shall be a Universally Unique Identifier (UUID) version 4, as described in IETF RFC 4122 [410]</w:t>
      </w:r>
    </w:p>
    <w:p>
      <w:pPr>
        <w:pStyle w:val="111"/>
      </w:pPr>
    </w:p>
    <w:p>
      <w:pPr>
        <w:pStyle w:val="111"/>
      </w:pPr>
      <w:r>
        <w:t>NetworkFunctionality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-- CHF  may only to be used in failure cases</w:t>
      </w:r>
    </w:p>
    <w:p>
      <w:pPr>
        <w:pStyle w:val="111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111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111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111"/>
        <w:snapToGrid w:val="0"/>
      </w:pPr>
      <w:r>
        <w:tab/>
      </w:r>
      <w:r>
        <w:t>-- SGSN is only applicable when UE is connected to SMF+PGW-C via GERAN/UTRAN</w:t>
      </w:r>
    </w:p>
    <w:p>
      <w:pPr>
        <w:pStyle w:val="111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111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111"/>
      </w:pPr>
      <w:r>
        <w:tab/>
      </w:r>
      <w:r>
        <w:t>-- vSMF may be used instead of sMF in roaming scenarios}</w:t>
      </w:r>
    </w:p>
    <w:p>
      <w:pPr>
        <w:pStyle w:val="111"/>
      </w:pPr>
      <w:r>
        <w:tab/>
      </w:r>
      <w:r>
        <w:t>iMS-Node</w:t>
      </w:r>
      <w:r>
        <w:tab/>
      </w:r>
      <w:r>
        <w:tab/>
      </w:r>
      <w:r>
        <w:t>(14)</w:t>
      </w:r>
    </w:p>
    <w:p>
      <w:pPr>
        <w:pStyle w:val="111"/>
      </w:pPr>
      <w:r>
        <w:tab/>
      </w:r>
      <w:r>
        <w:t>eES</w:t>
      </w:r>
      <w:r>
        <w:tab/>
      </w:r>
      <w:r>
        <w:tab/>
      </w:r>
      <w:r>
        <w:tab/>
      </w:r>
      <w:r>
        <w:t>(15)</w:t>
      </w:r>
    </w:p>
    <w:p>
      <w:pPr>
        <w:pStyle w:val="111"/>
      </w:pPr>
      <w:r>
        <w:tab/>
      </w:r>
      <w:r>
        <w:t>mMS-Node</w:t>
      </w:r>
      <w:r>
        <w:tab/>
      </w:r>
      <w:r>
        <w:tab/>
      </w:r>
      <w:r>
        <w:t>(16)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NgApCause</w:t>
      </w:r>
      <w:r>
        <w:tab/>
      </w:r>
      <w:r>
        <w:t>::= SEQUENCE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111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111"/>
      </w:pPr>
      <w:r>
        <w:rPr>
          <w:rFonts w:hint="eastAsia"/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NGRANSecondaryRATType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"NR" or "EUTRA"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NGRANSecondaryRATUsageReport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111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</w:pPr>
    </w:p>
    <w:p>
      <w:pPr>
        <w:pStyle w:val="111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serviceExperienceStatisticsData</w:t>
      </w:r>
      <w:r>
        <w:rPr>
          <w:lang w:eastAsia="zh-CN"/>
        </w:rPr>
        <w:tab/>
      </w:r>
      <w:r>
        <w:tab/>
      </w:r>
      <w:r>
        <w:t>[4] ServiceExperienceInfo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numberOfRegisteredSubscribers</w:t>
      </w:r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NSSAIMap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111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111"/>
      </w:pPr>
      <w:r>
        <w:t xml:space="preserve"> 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eNABLED</w:t>
      </w:r>
      <w:r>
        <w:tab/>
      </w:r>
      <w:r>
        <w:t>(0),</w:t>
      </w:r>
    </w:p>
    <w:p>
      <w:pPr>
        <w:pStyle w:val="111"/>
      </w:pPr>
      <w:r>
        <w:tab/>
      </w:r>
      <w:r>
        <w:t>dISABLED(1)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PartialRecordMethod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PDUAddress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111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111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111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111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111"/>
      </w:pPr>
      <w:r>
        <w:tab/>
      </w:r>
      <w:r>
        <w:t>-- aFCorrelationInformation [1] is replaced by afChargingIdentifier [14]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111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111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111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111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111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111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PDUSessionPairID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unstructured</w:t>
      </w:r>
      <w:r>
        <w:tab/>
      </w:r>
      <w:r>
        <w:t>(3),</w:t>
      </w:r>
    </w:p>
    <w:p>
      <w:pPr>
        <w:pStyle w:val="111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111"/>
        <w:snapToGrid w:val="0"/>
      </w:pPr>
      <w:r>
        <w:t>{</w:t>
      </w:r>
    </w:p>
    <w:p>
      <w:pPr>
        <w:pStyle w:val="111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111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111"/>
        <w:snapToGrid w:val="0"/>
      </w:pPr>
      <w:r>
        <w:t>}</w:t>
      </w:r>
    </w:p>
    <w:p>
      <w:pPr>
        <w:pStyle w:val="111"/>
        <w:snapToGrid w:val="0"/>
      </w:pPr>
    </w:p>
    <w:p>
      <w:pPr>
        <w:pStyle w:val="111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111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111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111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111"/>
        <w:snapToGrid w:val="0"/>
      </w:pPr>
      <w:r>
        <w:rPr>
          <w:rFonts w:hint="eastAsia"/>
          <w:lang w:eastAsia="zh-CN"/>
        </w:rP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QoSCharacteristics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111"/>
      </w:pPr>
      <w:r>
        <w:t>-- [251].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QoSFlowId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111"/>
      </w:pPr>
      <w:r>
        <w:t>}</w:t>
      </w:r>
    </w:p>
    <w:p>
      <w:pPr>
        <w:pStyle w:val="111"/>
      </w:pPr>
      <w:r>
        <w:t>QuotaManagementIndicator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111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111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Rac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111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111"/>
      </w:pPr>
      <w:r>
        <w:t>-- Mode details are described in TS 29.512[251].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111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111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111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RatingIndicator</w:t>
      </w:r>
      <w:r>
        <w:tab/>
      </w:r>
      <w:r>
        <w:t>::= BOOLEAN</w:t>
      </w:r>
    </w:p>
    <w:p>
      <w:pPr>
        <w:pStyle w:val="111"/>
      </w:pPr>
      <w:r>
        <w:t>-- Included if the units have been rated.</w:t>
      </w:r>
    </w:p>
    <w:p>
      <w:pPr>
        <w:pStyle w:val="111"/>
      </w:pPr>
    </w:p>
    <w:p>
      <w:pPr>
        <w:pStyle w:val="111"/>
      </w:pPr>
      <w:r>
        <w:t>RATType</w:t>
      </w:r>
      <w:r>
        <w:tab/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111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>-- 0 reserved</w:t>
      </w:r>
    </w:p>
    <w:p>
      <w:pPr>
        <w:pStyle w:val="111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>-- 4 reserved for GAN</w:t>
      </w:r>
    </w:p>
    <w:p>
      <w:pPr>
        <w:pStyle w:val="111"/>
      </w:pPr>
      <w:r>
        <w:t>-- 5 reserved for HSPA Evolution</w:t>
      </w:r>
    </w:p>
    <w:p>
      <w:pPr>
        <w:pStyle w:val="111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>-- 8 reserved for nBIoT</w:t>
      </w:r>
    </w:p>
    <w:p>
      <w:pPr>
        <w:pStyle w:val="111"/>
      </w:pPr>
      <w:r>
        <w:t>-- 9 reserved for lTEM</w:t>
      </w:r>
    </w:p>
    <w:p>
      <w:pPr>
        <w:pStyle w:val="111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>
      <w:pPr>
        <w:pStyle w:val="111"/>
        <w:rPr>
          <w:lang w:val="es-ES"/>
        </w:rPr>
      </w:pPr>
      <w: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lte-m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(54),</w:t>
      </w:r>
    </w:p>
    <w:p>
      <w:pPr>
        <w:pStyle w:val="111"/>
      </w:pPr>
      <w:r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111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111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111"/>
      </w:pPr>
      <w:r>
        <w:tab/>
      </w:r>
      <w:r>
        <w:t>nR-REDCAP</w:t>
      </w:r>
      <w:r>
        <w:tab/>
      </w:r>
      <w:r>
        <w:t>(58),</w:t>
      </w:r>
    </w:p>
    <w:p>
      <w:pPr>
        <w:pStyle w:val="111"/>
      </w:pPr>
      <w:r>
        <w:tab/>
      </w:r>
      <w:r>
        <w:t>tRUSTED-N3GA</w:t>
      </w:r>
      <w:r>
        <w:tab/>
      </w:r>
      <w:r>
        <w:t>(65),</w:t>
      </w:r>
    </w:p>
    <w:p>
      <w:pPr>
        <w:pStyle w:val="111"/>
      </w:pPr>
      <w:r>
        <w:tab/>
      </w:r>
      <w:r>
        <w:t>tRUSTED-WLAN</w:t>
      </w:r>
      <w:r>
        <w:tab/>
      </w:r>
      <w:r>
        <w:t>(66),</w:t>
      </w:r>
    </w:p>
    <w:p>
      <w:pPr>
        <w:pStyle w:val="111"/>
      </w:pPr>
      <w:r>
        <w:t>-- 101 reserved for IEEE 802.16e</w:t>
      </w:r>
    </w:p>
    <w:p>
      <w:pPr>
        <w:pStyle w:val="111"/>
      </w:pPr>
      <w:r>
        <w:t>-- 102 reserved for 3GPP2 eHRPD</w:t>
      </w:r>
    </w:p>
    <w:p>
      <w:pPr>
        <w:pStyle w:val="111"/>
      </w:pPr>
      <w:r>
        <w:t>-- 103 reserved for 3GPP2 HRPD</w:t>
      </w:r>
    </w:p>
    <w:p>
      <w:pPr>
        <w:pStyle w:val="111"/>
      </w:pPr>
      <w:r>
        <w:t>-- 104 reserved for 3GPP2 1xRTT</w:t>
      </w:r>
    </w:p>
    <w:p>
      <w:pPr>
        <w:pStyle w:val="111"/>
      </w:pPr>
      <w:r>
        <w:t>-- 105 reserved for 3GPP2 UMB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deregistration</w:t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allowedAreas</w:t>
      </w:r>
      <w:r>
        <w:tab/>
      </w:r>
      <w:r>
        <w:t>(0),</w:t>
      </w:r>
    </w:p>
    <w:p>
      <w:pPr>
        <w:pStyle w:val="111"/>
      </w:pPr>
      <w:r>
        <w:tab/>
      </w:r>
      <w:r>
        <w:t>notAllowedAreas</w:t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111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RoamerInOut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111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111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111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RoutingAreaId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RrcEstablishmentCause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111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111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Sac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ServiceAreaRestriction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111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111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>ServiceExperienceInfo</w:t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111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111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111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111"/>
      </w:pPr>
      <w:bookmarkStart w:id="26" w:name="_Hlk47630943"/>
      <w:r>
        <w:t>}</w:t>
      </w:r>
    </w:p>
    <w:p>
      <w:pPr>
        <w:pStyle w:val="111"/>
      </w:pPr>
    </w:p>
    <w:p>
      <w:pPr>
        <w:pStyle w:val="111"/>
      </w:pPr>
      <w:r>
        <w:t xml:space="preserve">ServiceProfileChargingInformation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>--</w:t>
      </w:r>
    </w:p>
    <w:p>
      <w:pPr>
        <w:pStyle w:val="111"/>
      </w:pPr>
      <w:r>
        <w:t>-- attributes of the service profile: see TS 28.541 [254]</w:t>
      </w:r>
    </w:p>
    <w:p>
      <w:pPr>
        <w:pStyle w:val="111"/>
      </w:pPr>
      <w:r>
        <w:t>--</w:t>
      </w:r>
    </w:p>
    <w:p>
      <w:pPr>
        <w:pStyle w:val="111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111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111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111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111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111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111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111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111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111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111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111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111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111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111"/>
        <w:rPr>
          <w:lang w:val="en-US"/>
        </w:rPr>
      </w:pPr>
      <w:r>
        <w:rPr>
          <w:lang w:val="en-US"/>
        </w:rPr>
        <w:t>{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bookmarkEnd w:id="26"/>
    <w:p>
      <w:pPr>
        <w:pStyle w:val="111"/>
      </w:pPr>
    </w:p>
    <w:p>
      <w:pPr>
        <w:pStyle w:val="111"/>
      </w:pPr>
      <w:r>
        <w:t>ServingNetworkFunctionID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111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111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SharingLevel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SingleNSSAI</w:t>
      </w:r>
      <w:r>
        <w:tab/>
      </w:r>
      <w:r>
        <w:t>::= SEQUENCE</w:t>
      </w:r>
    </w:p>
    <w:p>
      <w:pPr>
        <w:pStyle w:val="111"/>
      </w:pPr>
      <w:r>
        <w:t>-- See S-NSSAI subclause 28.4.2 of TS 23.003 [200] for encoding.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111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SliceServiceType ::= INTEGER (0..255)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SMdeliveryReportRequested 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>-- Change of Charging conditions</w:t>
      </w:r>
    </w:p>
    <w:p>
      <w:pPr>
        <w:pStyle w:val="111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111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111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111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111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111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111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111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111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111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111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111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111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111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111"/>
      </w:pPr>
      <w:r>
        <w:t>-- Limit per PDU session</w:t>
      </w:r>
    </w:p>
    <w:p>
      <w:pPr>
        <w:pStyle w:val="111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111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111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111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111"/>
      </w:pPr>
      <w:r>
        <w:t>-- Limit per Rating group</w:t>
      </w:r>
    </w:p>
    <w:p>
      <w:pPr>
        <w:pStyle w:val="111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111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111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111"/>
      </w:pPr>
      <w:r>
        <w:t>-- Quota management</w:t>
      </w:r>
    </w:p>
    <w:p>
      <w:pPr>
        <w:pStyle w:val="111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111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111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111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111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111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111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111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111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111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111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111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111"/>
      </w:pPr>
      <w:r>
        <w:t xml:space="preserve">-- Others </w:t>
      </w:r>
    </w:p>
    <w:p>
      <w:pPr>
        <w:pStyle w:val="111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111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111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111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111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111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111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111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111"/>
      </w:pPr>
      <w:r>
        <w:t>-- Limit per QoS Flow</w:t>
      </w:r>
    </w:p>
    <w:p>
      <w:pPr>
        <w:pStyle w:val="111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111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111"/>
      </w:pPr>
      <w:r>
        <w:t>-- interworking with EPC</w:t>
      </w:r>
    </w:p>
    <w:p>
      <w:pPr>
        <w:pStyle w:val="111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111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111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111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111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111"/>
      </w:pPr>
      <w:r>
        <w:t>-- GERAN/UTRAN access</w:t>
      </w:r>
    </w:p>
    <w:p>
      <w:pPr>
        <w:pStyle w:val="111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111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111"/>
      </w:pPr>
      <w:r>
        <w:t>}</w:t>
      </w:r>
    </w:p>
    <w:p>
      <w:pPr>
        <w:pStyle w:val="111"/>
      </w:pPr>
      <w:r>
        <w:t>-- See TS 32.255 [15] for details.</w:t>
      </w:r>
    </w:p>
    <w:p>
      <w:pPr>
        <w:pStyle w:val="111"/>
      </w:pPr>
    </w:p>
    <w:p>
      <w:pPr>
        <w:pStyle w:val="111"/>
      </w:pPr>
      <w:r>
        <w:t>SMReplyPathRequested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>
      <w:pPr>
        <w:pStyle w:val="111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111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111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111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111"/>
      </w:pPr>
      <w:r>
        <w:t>-- 11 to 99</w:t>
      </w:r>
      <w:r>
        <w:tab/>
      </w:r>
      <w:r>
        <w:t>Reserved for 3GPP defined SM services</w:t>
      </w:r>
    </w:p>
    <w:p>
      <w:pPr>
        <w:pStyle w:val="111"/>
      </w:pPr>
      <w:r>
        <w:t>-- 100 to 199 Vendor specific SM services</w:t>
      </w:r>
    </w:p>
    <w:p>
      <w:pPr>
        <w:pStyle w:val="111"/>
      </w:pPr>
      <w:r>
        <w:t>}</w:t>
      </w:r>
    </w:p>
    <w:p>
      <w:pPr>
        <w:pStyle w:val="111"/>
        <w:rPr>
          <w:lang w:val="it-IT"/>
        </w:rPr>
      </w:pPr>
    </w:p>
    <w:p>
      <w:pPr>
        <w:pStyle w:val="111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111"/>
        <w:rPr>
          <w:lang w:val="it-IT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SSCMode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  <w:r>
        <w:t>-- See 3GPP TS 23.501 [247] for details.</w:t>
      </w:r>
    </w:p>
    <w:p>
      <w:pPr>
        <w:pStyle w:val="111"/>
      </w:pPr>
    </w:p>
    <w:p>
      <w:pPr>
        <w:pStyle w:val="111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SubscribedQoSInformation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111"/>
      </w:pPr>
      <w:r>
        <w:t>}</w:t>
      </w:r>
    </w:p>
    <w:p>
      <w:pPr>
        <w:pStyle w:val="111"/>
      </w:pPr>
      <w:bookmarkStart w:id="27" w:name="_Hlk49498400"/>
    </w:p>
    <w:p>
      <w:pPr>
        <w:pStyle w:val="111"/>
      </w:pPr>
    </w:p>
    <w:p>
      <w:pPr>
        <w:pStyle w:val="111"/>
      </w:pPr>
      <w:r>
        <w:t xml:space="preserve">SvcExperience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INTEGER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bookmarkEnd w:id="27"/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111"/>
      </w:pPr>
    </w:p>
    <w:p>
      <w:pPr>
        <w:pStyle w:val="111"/>
      </w:pPr>
      <w:r>
        <w:t>TAI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111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111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TNAPId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TngfId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111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111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Trigger</w:t>
      </w:r>
      <w:r>
        <w:tab/>
      </w:r>
      <w:r>
        <w:t>::= CHOICE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TriggerCategory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TWAPId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111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111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111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111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111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111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111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111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111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UserLocationInformationStructured is an alternative ASN.1 format to UserLocationInformation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UserLocationInformation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 xml:space="preserve">UserLocationInformationStructured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111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111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111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111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UtraLocation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VirtualResource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VlrNumber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W</w:t>
      </w:r>
    </w:p>
    <w:p>
      <w:pPr>
        <w:pStyle w:val="111"/>
      </w:pPr>
      <w:r>
        <w:t>-- WAgfId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.#END</w:t>
      </w: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Style w:val="6"/>
        <w:rPr>
          <w:lang w:bidi="ar-IQ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5FE3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A11701"/>
    <w:rsid w:val="01CA42F3"/>
    <w:rsid w:val="035B2374"/>
    <w:rsid w:val="03B109B0"/>
    <w:rsid w:val="03F94E75"/>
    <w:rsid w:val="0422552E"/>
    <w:rsid w:val="0632127E"/>
    <w:rsid w:val="07306C3C"/>
    <w:rsid w:val="07BC0AF0"/>
    <w:rsid w:val="07D6735E"/>
    <w:rsid w:val="07EC6D5A"/>
    <w:rsid w:val="0800155C"/>
    <w:rsid w:val="0837118F"/>
    <w:rsid w:val="095071C4"/>
    <w:rsid w:val="0A3F2D69"/>
    <w:rsid w:val="0B197153"/>
    <w:rsid w:val="0B5D1D51"/>
    <w:rsid w:val="0C1D706E"/>
    <w:rsid w:val="0E2A237C"/>
    <w:rsid w:val="0FB0374B"/>
    <w:rsid w:val="0FC31D78"/>
    <w:rsid w:val="108E25F6"/>
    <w:rsid w:val="111F25C0"/>
    <w:rsid w:val="1135356B"/>
    <w:rsid w:val="11E65122"/>
    <w:rsid w:val="12234269"/>
    <w:rsid w:val="153F1C9F"/>
    <w:rsid w:val="164A06DC"/>
    <w:rsid w:val="16611C67"/>
    <w:rsid w:val="19D0709F"/>
    <w:rsid w:val="19F56210"/>
    <w:rsid w:val="1AF809DC"/>
    <w:rsid w:val="1CA5552B"/>
    <w:rsid w:val="1CD4619B"/>
    <w:rsid w:val="1D5717F8"/>
    <w:rsid w:val="1EC4399F"/>
    <w:rsid w:val="209379CD"/>
    <w:rsid w:val="228D5EA5"/>
    <w:rsid w:val="2412668F"/>
    <w:rsid w:val="24FC7AFE"/>
    <w:rsid w:val="259D660D"/>
    <w:rsid w:val="25FB2A61"/>
    <w:rsid w:val="27086914"/>
    <w:rsid w:val="281A54BF"/>
    <w:rsid w:val="2964342F"/>
    <w:rsid w:val="2A695EF3"/>
    <w:rsid w:val="2A941969"/>
    <w:rsid w:val="2B8730C0"/>
    <w:rsid w:val="2BC572BC"/>
    <w:rsid w:val="2C4C5561"/>
    <w:rsid w:val="2C7F6EDB"/>
    <w:rsid w:val="2CB56772"/>
    <w:rsid w:val="2CEC4D6E"/>
    <w:rsid w:val="2E620422"/>
    <w:rsid w:val="2E8454F2"/>
    <w:rsid w:val="2EA67D21"/>
    <w:rsid w:val="2EDF6A8A"/>
    <w:rsid w:val="2F0C0CFE"/>
    <w:rsid w:val="315649F7"/>
    <w:rsid w:val="32182CAF"/>
    <w:rsid w:val="3305146E"/>
    <w:rsid w:val="335149F0"/>
    <w:rsid w:val="339B4D9A"/>
    <w:rsid w:val="35A362BD"/>
    <w:rsid w:val="35C0554C"/>
    <w:rsid w:val="3754610A"/>
    <w:rsid w:val="39141344"/>
    <w:rsid w:val="39D512C3"/>
    <w:rsid w:val="39E34EFF"/>
    <w:rsid w:val="3AC353AB"/>
    <w:rsid w:val="3BC27C62"/>
    <w:rsid w:val="3E1F784A"/>
    <w:rsid w:val="3F8252CE"/>
    <w:rsid w:val="3FBE170E"/>
    <w:rsid w:val="41053BE1"/>
    <w:rsid w:val="427C5143"/>
    <w:rsid w:val="429A3F72"/>
    <w:rsid w:val="42C9216E"/>
    <w:rsid w:val="43093C44"/>
    <w:rsid w:val="441D4BC7"/>
    <w:rsid w:val="466A41D8"/>
    <w:rsid w:val="49A74ABA"/>
    <w:rsid w:val="49C50B10"/>
    <w:rsid w:val="49D976B9"/>
    <w:rsid w:val="4A7A13CD"/>
    <w:rsid w:val="4B455C6C"/>
    <w:rsid w:val="4C150A34"/>
    <w:rsid w:val="4C216584"/>
    <w:rsid w:val="4E810EA4"/>
    <w:rsid w:val="4EA15E80"/>
    <w:rsid w:val="4EE36D85"/>
    <w:rsid w:val="50BB2360"/>
    <w:rsid w:val="50CE751F"/>
    <w:rsid w:val="52876F67"/>
    <w:rsid w:val="52991E8D"/>
    <w:rsid w:val="530C601B"/>
    <w:rsid w:val="544F598D"/>
    <w:rsid w:val="548A472E"/>
    <w:rsid w:val="557318EA"/>
    <w:rsid w:val="58B25D8B"/>
    <w:rsid w:val="58EA6795"/>
    <w:rsid w:val="59263106"/>
    <w:rsid w:val="59D05333"/>
    <w:rsid w:val="59DB30E7"/>
    <w:rsid w:val="5A7E6626"/>
    <w:rsid w:val="5A942F88"/>
    <w:rsid w:val="5B390196"/>
    <w:rsid w:val="5C721338"/>
    <w:rsid w:val="5D8E6F60"/>
    <w:rsid w:val="5E1A4907"/>
    <w:rsid w:val="5E511777"/>
    <w:rsid w:val="5F2A3708"/>
    <w:rsid w:val="61CC1233"/>
    <w:rsid w:val="61E561E9"/>
    <w:rsid w:val="627437F5"/>
    <w:rsid w:val="62AD1F12"/>
    <w:rsid w:val="63032606"/>
    <w:rsid w:val="63DF401E"/>
    <w:rsid w:val="63EF603E"/>
    <w:rsid w:val="645A30D4"/>
    <w:rsid w:val="64752C37"/>
    <w:rsid w:val="6481351E"/>
    <w:rsid w:val="66260CF2"/>
    <w:rsid w:val="679B1764"/>
    <w:rsid w:val="68330424"/>
    <w:rsid w:val="68595749"/>
    <w:rsid w:val="68DE01B6"/>
    <w:rsid w:val="68FA66FD"/>
    <w:rsid w:val="69270577"/>
    <w:rsid w:val="695A65C7"/>
    <w:rsid w:val="6B884EA7"/>
    <w:rsid w:val="6BDA2E07"/>
    <w:rsid w:val="6CA575B3"/>
    <w:rsid w:val="6FA21FAE"/>
    <w:rsid w:val="71305BFD"/>
    <w:rsid w:val="71D22225"/>
    <w:rsid w:val="730E094C"/>
    <w:rsid w:val="73495146"/>
    <w:rsid w:val="73791828"/>
    <w:rsid w:val="74BA4E08"/>
    <w:rsid w:val="75C300F8"/>
    <w:rsid w:val="768A3C68"/>
    <w:rsid w:val="76AD1E39"/>
    <w:rsid w:val="76E349AE"/>
    <w:rsid w:val="7787640C"/>
    <w:rsid w:val="780A28EA"/>
    <w:rsid w:val="79CB4C8D"/>
    <w:rsid w:val="7A52584E"/>
    <w:rsid w:val="7B210925"/>
    <w:rsid w:val="7BEE0A8E"/>
    <w:rsid w:val="7C0075B6"/>
    <w:rsid w:val="7E122D92"/>
    <w:rsid w:val="7E515707"/>
    <w:rsid w:val="7E516477"/>
    <w:rsid w:val="7E7C668C"/>
    <w:rsid w:val="7EC03757"/>
    <w:rsid w:val="7EED12AF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0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CMCC2</cp:lastModifiedBy>
  <cp:lastPrinted>2411-12-31T23:00:00Z</cp:lastPrinted>
  <dcterms:modified xsi:type="dcterms:W3CDTF">2023-05-26T01:35:04Z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